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51C0A" w14:textId="77777777" w:rsidR="003D1816" w:rsidRPr="004D6227" w:rsidRDefault="004D6227" w:rsidP="00143B4B">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Wainwright Fund </w:t>
      </w:r>
      <w:r w:rsidR="003D1816" w:rsidRPr="004D6227">
        <w:rPr>
          <w:rFonts w:ascii="Arial" w:eastAsia="Times New Roman" w:hAnsi="Arial" w:cs="Arial"/>
          <w:b/>
          <w:bCs/>
          <w:sz w:val="24"/>
          <w:szCs w:val="24"/>
          <w:lang w:eastAsia="en-GB"/>
        </w:rPr>
        <w:t xml:space="preserve">Research Grant Applications - </w:t>
      </w:r>
      <w:r w:rsidR="00FD7E47">
        <w:rPr>
          <w:rFonts w:ascii="Arial" w:eastAsia="Times New Roman" w:hAnsi="Arial" w:cs="Arial"/>
          <w:b/>
          <w:bCs/>
          <w:sz w:val="24"/>
          <w:szCs w:val="24"/>
          <w:lang w:eastAsia="en-GB"/>
        </w:rPr>
        <w:t>Guidance</w:t>
      </w:r>
    </w:p>
    <w:p w14:paraId="6C118F96" w14:textId="1199F6C5" w:rsidR="003D1816" w:rsidRPr="004D6227" w:rsidRDefault="00143B4B" w:rsidP="00143B4B">
      <w:pPr>
        <w:spacing w:before="100" w:beforeAutospacing="1" w:after="100" w:afterAutospacing="1" w:line="240" w:lineRule="auto"/>
        <w:rPr>
          <w:rFonts w:ascii="Arial" w:eastAsia="Times New Roman" w:hAnsi="Arial" w:cs="Arial"/>
          <w:szCs w:val="24"/>
          <w:lang w:eastAsia="en-GB"/>
        </w:rPr>
      </w:pPr>
      <w:r>
        <w:rPr>
          <w:rFonts w:ascii="Arial" w:eastAsia="Times New Roman" w:hAnsi="Arial" w:cs="Arial"/>
          <w:szCs w:val="24"/>
          <w:lang w:eastAsia="en-GB"/>
        </w:rPr>
        <w:t xml:space="preserve">These guidelines should help you to prepare an application which has a good chance of being successful – though this is a competitive process and success cannot be guaranteed.  </w:t>
      </w:r>
      <w:r w:rsidR="003D1816" w:rsidRPr="004D6227">
        <w:rPr>
          <w:rFonts w:ascii="Arial" w:eastAsia="Times New Roman" w:hAnsi="Arial" w:cs="Arial"/>
          <w:szCs w:val="24"/>
          <w:lang w:eastAsia="en-GB"/>
        </w:rPr>
        <w:t xml:space="preserve">The reasons behind failed or queried </w:t>
      </w:r>
      <w:r w:rsidR="004D6227">
        <w:rPr>
          <w:rFonts w:ascii="Arial" w:eastAsia="Times New Roman" w:hAnsi="Arial" w:cs="Arial"/>
          <w:szCs w:val="24"/>
          <w:lang w:eastAsia="en-GB"/>
        </w:rPr>
        <w:t xml:space="preserve">Wainwright Fund </w:t>
      </w:r>
      <w:r w:rsidR="003D1816" w:rsidRPr="004D6227">
        <w:rPr>
          <w:rFonts w:ascii="Arial" w:eastAsia="Times New Roman" w:hAnsi="Arial" w:cs="Arial"/>
          <w:szCs w:val="24"/>
          <w:lang w:eastAsia="en-GB"/>
        </w:rPr>
        <w:t xml:space="preserve">Research Grant </w:t>
      </w:r>
      <w:r w:rsidR="004D6227">
        <w:rPr>
          <w:rFonts w:ascii="Arial" w:eastAsia="Times New Roman" w:hAnsi="Arial" w:cs="Arial"/>
          <w:szCs w:val="24"/>
          <w:lang w:eastAsia="en-GB"/>
        </w:rPr>
        <w:t>a</w:t>
      </w:r>
      <w:r w:rsidR="003D1816" w:rsidRPr="004D6227">
        <w:rPr>
          <w:rFonts w:ascii="Arial" w:eastAsia="Times New Roman" w:hAnsi="Arial" w:cs="Arial"/>
          <w:szCs w:val="24"/>
          <w:lang w:eastAsia="en-GB"/>
        </w:rPr>
        <w:t>pplications are usually similar, if not identical. Following the guidelines below should help you avoid these potential pitfalls, and increase your chances of receiving an award.</w:t>
      </w:r>
    </w:p>
    <w:p w14:paraId="78BE5351" w14:textId="0F5DB0A0" w:rsidR="003D1816" w:rsidRPr="00143B4B" w:rsidRDefault="003D1816" w:rsidP="00143B4B">
      <w:pPr>
        <w:pStyle w:val="ListParagraph"/>
        <w:numPr>
          <w:ilvl w:val="0"/>
          <w:numId w:val="2"/>
        </w:numPr>
        <w:spacing w:after="180" w:line="240" w:lineRule="auto"/>
        <w:ind w:left="567" w:hanging="567"/>
        <w:contextualSpacing w:val="0"/>
        <w:rPr>
          <w:rFonts w:ascii="Arial" w:eastAsia="Times New Roman" w:hAnsi="Arial" w:cs="Arial"/>
          <w:szCs w:val="24"/>
          <w:lang w:eastAsia="en-GB"/>
        </w:rPr>
      </w:pPr>
      <w:r w:rsidRPr="00143B4B">
        <w:rPr>
          <w:rFonts w:ascii="Arial" w:eastAsia="Times New Roman" w:hAnsi="Arial" w:cs="Arial"/>
          <w:szCs w:val="24"/>
          <w:lang w:eastAsia="en-GB"/>
        </w:rPr>
        <w:t>Demonstrate to the Fund that you have applied for additional funding elsewhere. Do not list the Fund as the sole funder of your project.</w:t>
      </w:r>
    </w:p>
    <w:p w14:paraId="388F44EF" w14:textId="5EAE4770" w:rsidR="003D1816" w:rsidRPr="00143B4B" w:rsidRDefault="003D1816" w:rsidP="00143B4B">
      <w:pPr>
        <w:pStyle w:val="ListParagraph"/>
        <w:numPr>
          <w:ilvl w:val="0"/>
          <w:numId w:val="2"/>
        </w:numPr>
        <w:spacing w:after="180" w:line="240" w:lineRule="auto"/>
        <w:ind w:left="567" w:hanging="567"/>
        <w:contextualSpacing w:val="0"/>
        <w:rPr>
          <w:rFonts w:ascii="Arial" w:eastAsia="Times New Roman" w:hAnsi="Arial" w:cs="Arial"/>
          <w:szCs w:val="24"/>
          <w:lang w:eastAsia="en-GB"/>
        </w:rPr>
      </w:pPr>
      <w:r w:rsidRPr="00143B4B">
        <w:rPr>
          <w:rFonts w:ascii="Arial" w:eastAsia="Times New Roman" w:hAnsi="Arial" w:cs="Arial"/>
          <w:szCs w:val="24"/>
          <w:lang w:eastAsia="en-GB"/>
        </w:rPr>
        <w:t>Make sure you download and read the latest versions of al</w:t>
      </w:r>
      <w:r w:rsidR="003C2040" w:rsidRPr="00143B4B">
        <w:rPr>
          <w:rFonts w:ascii="Arial" w:eastAsia="Times New Roman" w:hAnsi="Arial" w:cs="Arial"/>
          <w:szCs w:val="24"/>
          <w:lang w:eastAsia="en-GB"/>
        </w:rPr>
        <w:t>l the application material. Do</w:t>
      </w:r>
      <w:r w:rsidR="004D6227" w:rsidRPr="00143B4B">
        <w:rPr>
          <w:rFonts w:ascii="Arial" w:eastAsia="Times New Roman" w:hAnsi="Arial" w:cs="Arial"/>
          <w:szCs w:val="24"/>
          <w:lang w:eastAsia="en-GB"/>
        </w:rPr>
        <w:t xml:space="preserve"> </w:t>
      </w:r>
      <w:r w:rsidR="003C2040" w:rsidRPr="00143B4B">
        <w:rPr>
          <w:rFonts w:ascii="Arial" w:eastAsia="Times New Roman" w:hAnsi="Arial" w:cs="Arial"/>
          <w:szCs w:val="24"/>
          <w:lang w:eastAsia="en-GB"/>
        </w:rPr>
        <w:t>n</w:t>
      </w:r>
      <w:r w:rsidR="004D6227" w:rsidRPr="00143B4B">
        <w:rPr>
          <w:rFonts w:ascii="Arial" w:eastAsia="Times New Roman" w:hAnsi="Arial" w:cs="Arial"/>
          <w:szCs w:val="24"/>
          <w:lang w:eastAsia="en-GB"/>
        </w:rPr>
        <w:t>o</w:t>
      </w:r>
      <w:r w:rsidRPr="00143B4B">
        <w:rPr>
          <w:rFonts w:ascii="Arial" w:eastAsia="Times New Roman" w:hAnsi="Arial" w:cs="Arial"/>
          <w:szCs w:val="24"/>
          <w:lang w:eastAsia="en-GB"/>
        </w:rPr>
        <w:t xml:space="preserve">t keep local copies on file </w:t>
      </w:r>
      <w:r w:rsidR="004D6227" w:rsidRPr="00143B4B">
        <w:rPr>
          <w:rFonts w:ascii="Arial" w:eastAsia="Times New Roman" w:hAnsi="Arial" w:cs="Arial"/>
          <w:szCs w:val="24"/>
          <w:lang w:eastAsia="en-GB"/>
        </w:rPr>
        <w:t>as</w:t>
      </w:r>
      <w:r w:rsidRPr="00143B4B">
        <w:rPr>
          <w:rFonts w:ascii="Arial" w:eastAsia="Times New Roman" w:hAnsi="Arial" w:cs="Arial"/>
          <w:szCs w:val="24"/>
          <w:lang w:eastAsia="en-GB"/>
        </w:rPr>
        <w:t xml:space="preserve"> forms are regularly updated. Using old versions of application materials means that there is a good chance you are not providing crucial information to the Fund.</w:t>
      </w:r>
    </w:p>
    <w:p w14:paraId="6B545E10" w14:textId="55B7DB19" w:rsidR="003D1816" w:rsidRPr="00143B4B" w:rsidRDefault="003D1816" w:rsidP="00143B4B">
      <w:pPr>
        <w:pStyle w:val="ListParagraph"/>
        <w:numPr>
          <w:ilvl w:val="0"/>
          <w:numId w:val="2"/>
        </w:numPr>
        <w:spacing w:after="180" w:line="240" w:lineRule="auto"/>
        <w:ind w:left="567" w:hanging="567"/>
        <w:contextualSpacing w:val="0"/>
        <w:rPr>
          <w:rFonts w:ascii="Arial" w:eastAsia="Times New Roman" w:hAnsi="Arial" w:cs="Arial"/>
          <w:szCs w:val="24"/>
          <w:lang w:eastAsia="en-GB"/>
        </w:rPr>
      </w:pPr>
      <w:r w:rsidRPr="00143B4B">
        <w:rPr>
          <w:rFonts w:ascii="Arial" w:eastAsia="Times New Roman" w:hAnsi="Arial" w:cs="Arial"/>
          <w:szCs w:val="24"/>
          <w:lang w:eastAsia="en-GB"/>
        </w:rPr>
        <w:t>Ensure that your references are received on time, and that they are sent by the referees independently (i.e. not via you). Referees may send electronic references, provided they are written on their institution</w:t>
      </w:r>
      <w:r w:rsidR="003C2040" w:rsidRPr="00143B4B">
        <w:rPr>
          <w:rFonts w:ascii="Arial" w:eastAsia="Times New Roman" w:hAnsi="Arial" w:cs="Arial"/>
          <w:szCs w:val="24"/>
          <w:lang w:eastAsia="en-GB"/>
        </w:rPr>
        <w:t>’</w:t>
      </w:r>
      <w:r w:rsidRPr="00143B4B">
        <w:rPr>
          <w:rFonts w:ascii="Arial" w:eastAsia="Times New Roman" w:hAnsi="Arial" w:cs="Arial"/>
          <w:szCs w:val="24"/>
          <w:lang w:eastAsia="en-GB"/>
        </w:rPr>
        <w:t>s official headed paper.</w:t>
      </w:r>
    </w:p>
    <w:p w14:paraId="1EA97277" w14:textId="13C0A66A" w:rsidR="003D1816" w:rsidRPr="00143B4B" w:rsidRDefault="003D1816" w:rsidP="00143B4B">
      <w:pPr>
        <w:pStyle w:val="ListParagraph"/>
        <w:numPr>
          <w:ilvl w:val="0"/>
          <w:numId w:val="2"/>
        </w:numPr>
        <w:spacing w:after="180" w:line="240" w:lineRule="auto"/>
        <w:ind w:left="567" w:hanging="567"/>
        <w:contextualSpacing w:val="0"/>
        <w:rPr>
          <w:rFonts w:ascii="Arial" w:eastAsia="Times New Roman" w:hAnsi="Arial" w:cs="Arial"/>
          <w:szCs w:val="24"/>
          <w:lang w:eastAsia="en-GB"/>
        </w:rPr>
      </w:pPr>
      <w:r w:rsidRPr="00143B4B">
        <w:rPr>
          <w:rFonts w:ascii="Arial" w:eastAsia="Times New Roman" w:hAnsi="Arial" w:cs="Arial"/>
          <w:szCs w:val="24"/>
          <w:lang w:eastAsia="en-GB"/>
        </w:rPr>
        <w:t xml:space="preserve">Make your project stand out - make it sound interesting, </w:t>
      </w:r>
      <w:r w:rsidR="004D6227" w:rsidRPr="00143B4B">
        <w:rPr>
          <w:rFonts w:ascii="Arial" w:eastAsia="Times New Roman" w:hAnsi="Arial" w:cs="Arial"/>
          <w:szCs w:val="24"/>
          <w:lang w:eastAsia="en-GB"/>
        </w:rPr>
        <w:t>ground-breaking</w:t>
      </w:r>
      <w:r w:rsidRPr="00143B4B">
        <w:rPr>
          <w:rFonts w:ascii="Arial" w:eastAsia="Times New Roman" w:hAnsi="Arial" w:cs="Arial"/>
          <w:szCs w:val="24"/>
          <w:lang w:eastAsia="en-GB"/>
        </w:rPr>
        <w:t xml:space="preserve"> and of genuine archaeological interest.</w:t>
      </w:r>
    </w:p>
    <w:p w14:paraId="6599135F" w14:textId="75AFCB69" w:rsidR="004D6227" w:rsidRPr="00143B4B" w:rsidRDefault="003D1816" w:rsidP="00143B4B">
      <w:pPr>
        <w:pStyle w:val="ListParagraph"/>
        <w:numPr>
          <w:ilvl w:val="0"/>
          <w:numId w:val="2"/>
        </w:numPr>
        <w:spacing w:after="180" w:line="240" w:lineRule="auto"/>
        <w:ind w:left="567" w:hanging="567"/>
        <w:contextualSpacing w:val="0"/>
        <w:rPr>
          <w:rFonts w:ascii="Arial" w:eastAsia="Times New Roman" w:hAnsi="Arial" w:cs="Arial"/>
          <w:szCs w:val="24"/>
          <w:lang w:eastAsia="en-GB"/>
        </w:rPr>
      </w:pPr>
      <w:r w:rsidRPr="00143B4B">
        <w:rPr>
          <w:rFonts w:ascii="Arial" w:eastAsia="Times New Roman" w:hAnsi="Arial" w:cs="Arial"/>
          <w:szCs w:val="24"/>
          <w:lang w:eastAsia="en-GB"/>
        </w:rPr>
        <w:t>Do</w:t>
      </w:r>
      <w:r w:rsidR="004D6227" w:rsidRPr="00143B4B">
        <w:rPr>
          <w:rFonts w:ascii="Arial" w:eastAsia="Times New Roman" w:hAnsi="Arial" w:cs="Arial"/>
          <w:szCs w:val="24"/>
          <w:lang w:eastAsia="en-GB"/>
        </w:rPr>
        <w:t xml:space="preserve"> </w:t>
      </w:r>
      <w:r w:rsidRPr="00143B4B">
        <w:rPr>
          <w:rFonts w:ascii="Arial" w:eastAsia="Times New Roman" w:hAnsi="Arial" w:cs="Arial"/>
          <w:szCs w:val="24"/>
          <w:lang w:eastAsia="en-GB"/>
        </w:rPr>
        <w:t>n</w:t>
      </w:r>
      <w:r w:rsidR="004D6227" w:rsidRPr="00143B4B">
        <w:rPr>
          <w:rFonts w:ascii="Arial" w:eastAsia="Times New Roman" w:hAnsi="Arial" w:cs="Arial"/>
          <w:szCs w:val="24"/>
          <w:lang w:eastAsia="en-GB"/>
        </w:rPr>
        <w:t>o</w:t>
      </w:r>
      <w:r w:rsidRPr="00143B4B">
        <w:rPr>
          <w:rFonts w:ascii="Arial" w:eastAsia="Times New Roman" w:hAnsi="Arial" w:cs="Arial"/>
          <w:szCs w:val="24"/>
          <w:lang w:eastAsia="en-GB"/>
        </w:rPr>
        <w:t>t apply for grants larger than £</w:t>
      </w:r>
      <w:r w:rsidR="00DD7503" w:rsidRPr="00143B4B">
        <w:rPr>
          <w:rFonts w:ascii="Arial" w:eastAsia="Times New Roman" w:hAnsi="Arial" w:cs="Arial"/>
          <w:szCs w:val="24"/>
          <w:lang w:eastAsia="en-GB"/>
        </w:rPr>
        <w:t>8</w:t>
      </w:r>
      <w:r w:rsidRPr="00143B4B">
        <w:rPr>
          <w:rFonts w:ascii="Arial" w:eastAsia="Times New Roman" w:hAnsi="Arial" w:cs="Arial"/>
          <w:szCs w:val="24"/>
          <w:lang w:eastAsia="en-GB"/>
        </w:rPr>
        <w:t xml:space="preserve">,000. </w:t>
      </w:r>
    </w:p>
    <w:p w14:paraId="3C89230A" w14:textId="04923A83" w:rsidR="003D1816" w:rsidRDefault="003D1816" w:rsidP="00143B4B">
      <w:pPr>
        <w:pStyle w:val="ListParagraph"/>
        <w:numPr>
          <w:ilvl w:val="0"/>
          <w:numId w:val="2"/>
        </w:numPr>
        <w:spacing w:after="180" w:line="240" w:lineRule="auto"/>
        <w:ind w:left="567" w:hanging="567"/>
        <w:contextualSpacing w:val="0"/>
        <w:rPr>
          <w:rFonts w:ascii="Arial" w:eastAsia="Times New Roman" w:hAnsi="Arial" w:cs="Arial"/>
          <w:szCs w:val="24"/>
          <w:lang w:eastAsia="en-GB"/>
        </w:rPr>
      </w:pPr>
      <w:r w:rsidRPr="00143B4B">
        <w:rPr>
          <w:rFonts w:ascii="Arial" w:eastAsia="Times New Roman" w:hAnsi="Arial" w:cs="Arial"/>
          <w:szCs w:val="24"/>
          <w:lang w:eastAsia="en-GB"/>
        </w:rPr>
        <w:t>Do</w:t>
      </w:r>
      <w:r w:rsidR="004D6227" w:rsidRPr="00143B4B">
        <w:rPr>
          <w:rFonts w:ascii="Arial" w:eastAsia="Times New Roman" w:hAnsi="Arial" w:cs="Arial"/>
          <w:szCs w:val="24"/>
          <w:lang w:eastAsia="en-GB"/>
        </w:rPr>
        <w:t xml:space="preserve"> </w:t>
      </w:r>
      <w:r w:rsidRPr="00143B4B">
        <w:rPr>
          <w:rFonts w:ascii="Arial" w:eastAsia="Times New Roman" w:hAnsi="Arial" w:cs="Arial"/>
          <w:szCs w:val="24"/>
          <w:lang w:eastAsia="en-GB"/>
        </w:rPr>
        <w:t>n</w:t>
      </w:r>
      <w:r w:rsidR="004D6227" w:rsidRPr="00143B4B">
        <w:rPr>
          <w:rFonts w:ascii="Arial" w:eastAsia="Times New Roman" w:hAnsi="Arial" w:cs="Arial"/>
          <w:szCs w:val="24"/>
          <w:lang w:eastAsia="en-GB"/>
        </w:rPr>
        <w:t>o</w:t>
      </w:r>
      <w:r w:rsidRPr="00143B4B">
        <w:rPr>
          <w:rFonts w:ascii="Arial" w:eastAsia="Times New Roman" w:hAnsi="Arial" w:cs="Arial"/>
          <w:szCs w:val="24"/>
          <w:lang w:eastAsia="en-GB"/>
        </w:rPr>
        <w:t>t apply for funding for things not supporte</w:t>
      </w:r>
      <w:r w:rsidR="003C2040" w:rsidRPr="00143B4B">
        <w:rPr>
          <w:rFonts w:ascii="Arial" w:eastAsia="Times New Roman" w:hAnsi="Arial" w:cs="Arial"/>
          <w:szCs w:val="24"/>
          <w:lang w:eastAsia="en-GB"/>
        </w:rPr>
        <w:t xml:space="preserve">d by the Fund, </w:t>
      </w:r>
      <w:r w:rsidR="00143B4B">
        <w:rPr>
          <w:rFonts w:ascii="Arial" w:eastAsia="Times New Roman" w:hAnsi="Arial" w:cs="Arial"/>
          <w:szCs w:val="24"/>
          <w:lang w:eastAsia="en-GB"/>
        </w:rPr>
        <w:t>such as</w:t>
      </w:r>
      <w:r w:rsidR="003C2040" w:rsidRPr="00143B4B">
        <w:rPr>
          <w:rFonts w:ascii="Arial" w:eastAsia="Times New Roman" w:hAnsi="Arial" w:cs="Arial"/>
          <w:szCs w:val="24"/>
          <w:lang w:eastAsia="en-GB"/>
        </w:rPr>
        <w:t xml:space="preserve"> salaries, DPhil support, core DPhil</w:t>
      </w:r>
      <w:r w:rsidRPr="00143B4B">
        <w:rPr>
          <w:rFonts w:ascii="Arial" w:eastAsia="Times New Roman" w:hAnsi="Arial" w:cs="Arial"/>
          <w:szCs w:val="24"/>
          <w:lang w:eastAsia="en-GB"/>
        </w:rPr>
        <w:t xml:space="preserve"> research etc. Although we will not provide funding for D</w:t>
      </w:r>
      <w:r w:rsidR="003C2040" w:rsidRPr="00143B4B">
        <w:rPr>
          <w:rFonts w:ascii="Arial" w:eastAsia="Times New Roman" w:hAnsi="Arial" w:cs="Arial"/>
          <w:szCs w:val="24"/>
          <w:lang w:eastAsia="en-GB"/>
        </w:rPr>
        <w:t>Phil</w:t>
      </w:r>
      <w:r w:rsidRPr="00143B4B">
        <w:rPr>
          <w:rFonts w:ascii="Arial" w:eastAsia="Times New Roman" w:hAnsi="Arial" w:cs="Arial"/>
          <w:szCs w:val="24"/>
          <w:lang w:eastAsia="en-GB"/>
        </w:rPr>
        <w:t xml:space="preserve"> core research, we might provide funds for standalone projects, fieldwork and analytical costs, or support for standalone projects resulting in publication. All other related costs such as fees and subsistence at the home institution are excluded.</w:t>
      </w:r>
    </w:p>
    <w:p w14:paraId="330FDFD5" w14:textId="226C4D0D" w:rsidR="00104859" w:rsidRPr="00143B4B" w:rsidRDefault="00104859" w:rsidP="00143B4B">
      <w:pPr>
        <w:pStyle w:val="ListParagraph"/>
        <w:numPr>
          <w:ilvl w:val="0"/>
          <w:numId w:val="2"/>
        </w:numPr>
        <w:spacing w:after="180" w:line="240" w:lineRule="auto"/>
        <w:ind w:left="567" w:hanging="567"/>
        <w:contextualSpacing w:val="0"/>
        <w:rPr>
          <w:rFonts w:ascii="Arial" w:eastAsia="Times New Roman" w:hAnsi="Arial" w:cs="Arial"/>
          <w:szCs w:val="24"/>
          <w:lang w:eastAsia="en-GB"/>
        </w:rPr>
      </w:pPr>
      <w:r>
        <w:rPr>
          <w:rFonts w:ascii="Arial" w:eastAsia="Times New Roman" w:hAnsi="Arial" w:cs="Arial"/>
          <w:szCs w:val="24"/>
          <w:lang w:eastAsia="en-GB"/>
        </w:rPr>
        <w:t>Be realistic with your budget.  Consider the possible effects of local inflation rates and changes in currency exchange rates, and build in (and clearly identify) a contingency sum if appropriate.</w:t>
      </w:r>
    </w:p>
    <w:p w14:paraId="74121650" w14:textId="78DB5827" w:rsidR="004D6227" w:rsidRPr="00143B4B" w:rsidRDefault="004D6227" w:rsidP="00143B4B">
      <w:pPr>
        <w:pStyle w:val="ListParagraph"/>
        <w:numPr>
          <w:ilvl w:val="0"/>
          <w:numId w:val="2"/>
        </w:numPr>
        <w:spacing w:after="180" w:line="240" w:lineRule="auto"/>
        <w:ind w:left="567" w:hanging="567"/>
        <w:contextualSpacing w:val="0"/>
        <w:rPr>
          <w:rFonts w:ascii="Arial" w:eastAsia="Times New Roman" w:hAnsi="Arial" w:cs="Arial"/>
          <w:szCs w:val="24"/>
          <w:lang w:eastAsia="en-GB"/>
        </w:rPr>
      </w:pPr>
      <w:r w:rsidRPr="00143B4B">
        <w:rPr>
          <w:rFonts w:ascii="Arial" w:eastAsia="Times New Roman" w:hAnsi="Arial" w:cs="Arial"/>
          <w:szCs w:val="24"/>
          <w:lang w:eastAsia="en-GB"/>
        </w:rPr>
        <w:t>Applicants must be ordinarily resident in the UK or affiliated to a UK institution.</w:t>
      </w:r>
    </w:p>
    <w:p w14:paraId="74EEF98A" w14:textId="7A872990" w:rsidR="003D1816" w:rsidRPr="00143B4B" w:rsidRDefault="003D1816" w:rsidP="00143B4B">
      <w:pPr>
        <w:pStyle w:val="ListParagraph"/>
        <w:numPr>
          <w:ilvl w:val="0"/>
          <w:numId w:val="2"/>
        </w:numPr>
        <w:spacing w:after="180" w:line="240" w:lineRule="auto"/>
        <w:ind w:left="567" w:hanging="567"/>
        <w:contextualSpacing w:val="0"/>
        <w:rPr>
          <w:rFonts w:ascii="Arial" w:eastAsia="Times New Roman" w:hAnsi="Arial" w:cs="Arial"/>
          <w:szCs w:val="24"/>
          <w:lang w:eastAsia="en-GB"/>
        </w:rPr>
      </w:pPr>
      <w:r w:rsidRPr="00143B4B">
        <w:rPr>
          <w:rFonts w:ascii="Arial" w:eastAsia="Times New Roman" w:hAnsi="Arial" w:cs="Arial"/>
          <w:szCs w:val="24"/>
          <w:lang w:eastAsia="en-GB"/>
        </w:rPr>
        <w:t xml:space="preserve">If your application is in relation to a larger project, show in detail how the Wainwright portion of your overall funding will be spent. In general, it is better to apply for a grant for a small, self-contained sub-section of a larger project, one that can be broken down into a fair amount of financial detail, than to apply for a grant to contribute towards a significant cost associated with the larger project as a whole, </w:t>
      </w:r>
      <w:r w:rsidR="00143B4B">
        <w:rPr>
          <w:rFonts w:ascii="Arial" w:eastAsia="Times New Roman" w:hAnsi="Arial" w:cs="Arial"/>
          <w:szCs w:val="24"/>
          <w:lang w:eastAsia="en-GB"/>
        </w:rPr>
        <w:t>e.g.</w:t>
      </w:r>
      <w:r w:rsidRPr="00143B4B">
        <w:rPr>
          <w:rFonts w:ascii="Arial" w:eastAsia="Times New Roman" w:hAnsi="Arial" w:cs="Arial"/>
          <w:szCs w:val="24"/>
          <w:lang w:eastAsia="en-GB"/>
        </w:rPr>
        <w:t xml:space="preserve"> contributions towards hire of machinery/external contractors etc.</w:t>
      </w:r>
    </w:p>
    <w:p w14:paraId="0EE8145A" w14:textId="1E40F4F8" w:rsidR="00A663F2" w:rsidRPr="00143B4B" w:rsidRDefault="003D1816" w:rsidP="00143B4B">
      <w:pPr>
        <w:pStyle w:val="ListParagraph"/>
        <w:numPr>
          <w:ilvl w:val="0"/>
          <w:numId w:val="2"/>
        </w:numPr>
        <w:spacing w:after="180" w:line="240" w:lineRule="auto"/>
        <w:ind w:left="567" w:hanging="567"/>
        <w:contextualSpacing w:val="0"/>
        <w:rPr>
          <w:rFonts w:ascii="Arial" w:eastAsia="Times New Roman" w:hAnsi="Arial" w:cs="Arial"/>
          <w:szCs w:val="24"/>
          <w:lang w:eastAsia="en-GB"/>
        </w:rPr>
      </w:pPr>
      <w:r w:rsidRPr="00143B4B">
        <w:rPr>
          <w:rFonts w:ascii="Arial" w:eastAsia="Times New Roman" w:hAnsi="Arial" w:cs="Arial"/>
          <w:szCs w:val="24"/>
          <w:lang w:eastAsia="en-GB"/>
        </w:rPr>
        <w:t>The Fund will not support projects for more than three consecutive years. Furthermore, a successful application one year does not mean a successful application the following year. Funds are limited, and different meetings bring fresh applications. If you are applying for a second or third grant in relation to an ongoing project, make sure the committee is aware of any recent or forthcoming publications relating to the project, and ensure timely and regular reports are submitted. Ongoing projects with little or no published output are generally less likely to receive support</w:t>
      </w:r>
      <w:r w:rsidR="004D6227" w:rsidRPr="00143B4B">
        <w:rPr>
          <w:rFonts w:ascii="Arial" w:eastAsia="Times New Roman" w:hAnsi="Arial" w:cs="Arial"/>
          <w:szCs w:val="24"/>
          <w:lang w:eastAsia="en-GB"/>
        </w:rPr>
        <w:t xml:space="preserve">. </w:t>
      </w:r>
    </w:p>
    <w:sectPr w:rsidR="00A663F2" w:rsidRPr="00143B4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DFCE" w14:textId="77777777" w:rsidR="003C2040" w:rsidRDefault="003C2040" w:rsidP="003C2040">
      <w:pPr>
        <w:spacing w:after="0" w:line="240" w:lineRule="auto"/>
      </w:pPr>
      <w:r>
        <w:separator/>
      </w:r>
    </w:p>
  </w:endnote>
  <w:endnote w:type="continuationSeparator" w:id="0">
    <w:p w14:paraId="38A0D916" w14:textId="77777777" w:rsidR="003C2040" w:rsidRDefault="003C2040" w:rsidP="003C2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8E03" w14:textId="7DA976BB" w:rsidR="003C2040" w:rsidRPr="004D6227" w:rsidRDefault="004D6227" w:rsidP="004D6227">
    <w:pPr>
      <w:jc w:val="center"/>
      <w:rPr>
        <w:rFonts w:ascii="Arial" w:hAnsi="Arial" w:cs="Arial"/>
        <w:color w:val="444444"/>
        <w:sz w:val="16"/>
        <w:szCs w:val="18"/>
      </w:rPr>
    </w:pPr>
    <w:r w:rsidRPr="005738C4">
      <w:rPr>
        <w:rFonts w:ascii="Arial" w:hAnsi="Arial" w:cs="Arial"/>
        <w:color w:val="444444"/>
        <w:sz w:val="16"/>
        <w:szCs w:val="18"/>
      </w:rPr>
      <w:t>The Gerald Averay Wainwright Fund</w:t>
    </w:r>
    <w:r>
      <w:rPr>
        <w:rFonts w:ascii="Arial" w:hAnsi="Arial" w:cs="Arial"/>
        <w:color w:val="444444"/>
        <w:sz w:val="16"/>
        <w:szCs w:val="18"/>
      </w:rPr>
      <w:br/>
    </w:r>
    <w:r w:rsidR="00660177">
      <w:rPr>
        <w:rFonts w:ascii="Arial" w:hAnsi="Arial" w:cs="Arial"/>
        <w:color w:val="444444"/>
        <w:sz w:val="16"/>
        <w:szCs w:val="18"/>
      </w:rPr>
      <w:t>Faculty of Asian and Middle Eastern Studies</w:t>
    </w:r>
    <w:r w:rsidRPr="005738C4">
      <w:rPr>
        <w:rFonts w:ascii="Arial" w:hAnsi="Arial" w:cs="Arial"/>
        <w:color w:val="444444"/>
        <w:sz w:val="16"/>
        <w:szCs w:val="18"/>
      </w:rPr>
      <w:t xml:space="preserve">, </w:t>
    </w:r>
    <w:r w:rsidR="00143B4B">
      <w:rPr>
        <w:rFonts w:ascii="Arial" w:hAnsi="Arial" w:cs="Arial"/>
        <w:color w:val="444444"/>
        <w:sz w:val="16"/>
        <w:szCs w:val="18"/>
      </w:rPr>
      <w:t xml:space="preserve">1 </w:t>
    </w:r>
    <w:r w:rsidRPr="005738C4">
      <w:rPr>
        <w:rFonts w:ascii="Arial" w:hAnsi="Arial" w:cs="Arial"/>
        <w:color w:val="444444"/>
        <w:sz w:val="16"/>
        <w:szCs w:val="18"/>
      </w:rPr>
      <w:t xml:space="preserve">Pusey Lane, Oxford OX1 2LE </w:t>
    </w:r>
    <w:r>
      <w:rPr>
        <w:rFonts w:ascii="Arial" w:hAnsi="Arial" w:cs="Arial"/>
        <w:color w:val="444444"/>
        <w:sz w:val="16"/>
        <w:szCs w:val="18"/>
      </w:rPr>
      <w:br/>
    </w:r>
    <w:r w:rsidRPr="005738C4">
      <w:rPr>
        <w:rFonts w:ascii="Arial" w:eastAsia="Batang" w:hAnsi="Arial" w:cs="Arial"/>
        <w:sz w:val="16"/>
        <w:szCs w:val="18"/>
      </w:rPr>
      <w:t xml:space="preserve">Email: </w:t>
    </w:r>
    <w:hyperlink r:id="rId1" w:history="1">
      <w:r w:rsidR="00143B4B" w:rsidRPr="006A098F">
        <w:rPr>
          <w:rStyle w:val="Hyperlink"/>
          <w:rFonts w:ascii="Arial" w:eastAsia="Batang" w:hAnsi="Arial" w:cs="Arial"/>
          <w:sz w:val="16"/>
          <w:szCs w:val="18"/>
        </w:rPr>
        <w:t>wainwright.fund@ames.ox.ac.uk</w:t>
      </w:r>
    </w:hyperlink>
    <w:r>
      <w:rPr>
        <w:rFonts w:ascii="Arial" w:hAnsi="Arial" w:cs="Arial"/>
        <w:color w:val="444444"/>
        <w:sz w:val="16"/>
        <w:szCs w:val="18"/>
      </w:rPr>
      <w:br/>
    </w:r>
    <w:r w:rsidRPr="005738C4">
      <w:rPr>
        <w:rFonts w:ascii="Arial" w:eastAsia="Batang" w:hAnsi="Arial" w:cs="Arial"/>
        <w:sz w:val="16"/>
        <w:szCs w:val="18"/>
      </w:rPr>
      <w:t xml:space="preserve">Website: </w:t>
    </w:r>
    <w:hyperlink r:id="rId2" w:history="1">
      <w:r w:rsidRPr="005738C4">
        <w:rPr>
          <w:rStyle w:val="Hyperlink"/>
          <w:rFonts w:ascii="Arial" w:eastAsia="Batang" w:hAnsi="Arial" w:cs="Arial"/>
          <w:sz w:val="16"/>
          <w:szCs w:val="18"/>
        </w:rPr>
        <w:t>www.wainwrightfund.org.uk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EF22" w14:textId="77777777" w:rsidR="003C2040" w:rsidRDefault="003C2040" w:rsidP="003C2040">
      <w:pPr>
        <w:spacing w:after="0" w:line="240" w:lineRule="auto"/>
      </w:pPr>
      <w:r>
        <w:separator/>
      </w:r>
    </w:p>
  </w:footnote>
  <w:footnote w:type="continuationSeparator" w:id="0">
    <w:p w14:paraId="2D7A900E" w14:textId="77777777" w:rsidR="003C2040" w:rsidRDefault="003C2040" w:rsidP="003C2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C4584"/>
    <w:multiLevelType w:val="hybridMultilevel"/>
    <w:tmpl w:val="E5243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8D46CD"/>
    <w:multiLevelType w:val="hybridMultilevel"/>
    <w:tmpl w:val="EDBC0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457597">
    <w:abstractNumId w:val="1"/>
  </w:num>
  <w:num w:numId="2" w16cid:durableId="176255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040"/>
    <w:rsid w:val="00104859"/>
    <w:rsid w:val="00143B4B"/>
    <w:rsid w:val="00166B79"/>
    <w:rsid w:val="0021124A"/>
    <w:rsid w:val="003C2040"/>
    <w:rsid w:val="003D1816"/>
    <w:rsid w:val="004D6227"/>
    <w:rsid w:val="00660177"/>
    <w:rsid w:val="00994856"/>
    <w:rsid w:val="009A6FDA"/>
    <w:rsid w:val="00A663F2"/>
    <w:rsid w:val="00DD7503"/>
    <w:rsid w:val="00FD7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5DF936"/>
  <w15:docId w15:val="{B46FD5A2-F943-4990-AFB8-46CE0301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3D1816"/>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D181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D1816"/>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3D1816"/>
    <w:rPr>
      <w:b/>
      <w:bCs/>
    </w:rPr>
  </w:style>
  <w:style w:type="paragraph" w:styleId="BalloonText">
    <w:name w:val="Balloon Text"/>
    <w:basedOn w:val="Normal"/>
    <w:link w:val="BalloonTextChar"/>
    <w:uiPriority w:val="99"/>
    <w:semiHidden/>
    <w:unhideWhenUsed/>
    <w:rsid w:val="00166B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6B79"/>
    <w:rPr>
      <w:rFonts w:ascii="Tahoma" w:hAnsi="Tahoma" w:cs="Tahoma"/>
      <w:sz w:val="16"/>
      <w:szCs w:val="16"/>
      <w:lang w:eastAsia="en-US"/>
    </w:rPr>
  </w:style>
  <w:style w:type="paragraph" w:styleId="Header">
    <w:name w:val="header"/>
    <w:basedOn w:val="Normal"/>
    <w:link w:val="HeaderChar"/>
    <w:uiPriority w:val="99"/>
    <w:unhideWhenUsed/>
    <w:rsid w:val="003C2040"/>
    <w:pPr>
      <w:tabs>
        <w:tab w:val="center" w:pos="4513"/>
        <w:tab w:val="right" w:pos="9026"/>
      </w:tabs>
    </w:pPr>
  </w:style>
  <w:style w:type="character" w:customStyle="1" w:styleId="HeaderChar">
    <w:name w:val="Header Char"/>
    <w:basedOn w:val="DefaultParagraphFont"/>
    <w:link w:val="Header"/>
    <w:uiPriority w:val="99"/>
    <w:rsid w:val="003C2040"/>
    <w:rPr>
      <w:sz w:val="22"/>
      <w:szCs w:val="22"/>
      <w:lang w:eastAsia="en-US"/>
    </w:rPr>
  </w:style>
  <w:style w:type="paragraph" w:styleId="Footer">
    <w:name w:val="footer"/>
    <w:basedOn w:val="Normal"/>
    <w:link w:val="FooterChar"/>
    <w:uiPriority w:val="99"/>
    <w:unhideWhenUsed/>
    <w:rsid w:val="003C2040"/>
    <w:pPr>
      <w:tabs>
        <w:tab w:val="center" w:pos="4513"/>
        <w:tab w:val="right" w:pos="9026"/>
      </w:tabs>
    </w:pPr>
  </w:style>
  <w:style w:type="character" w:customStyle="1" w:styleId="FooterChar">
    <w:name w:val="Footer Char"/>
    <w:basedOn w:val="DefaultParagraphFont"/>
    <w:link w:val="Footer"/>
    <w:uiPriority w:val="99"/>
    <w:rsid w:val="003C2040"/>
    <w:rPr>
      <w:sz w:val="22"/>
      <w:szCs w:val="22"/>
      <w:lang w:eastAsia="en-US"/>
    </w:rPr>
  </w:style>
  <w:style w:type="character" w:styleId="Hyperlink">
    <w:name w:val="Hyperlink"/>
    <w:rsid w:val="004D6227"/>
    <w:rPr>
      <w:color w:val="0000FF"/>
      <w:u w:val="single"/>
    </w:rPr>
  </w:style>
  <w:style w:type="character" w:styleId="UnresolvedMention">
    <w:name w:val="Unresolved Mention"/>
    <w:basedOn w:val="DefaultParagraphFont"/>
    <w:uiPriority w:val="99"/>
    <w:semiHidden/>
    <w:unhideWhenUsed/>
    <w:rsid w:val="00143B4B"/>
    <w:rPr>
      <w:color w:val="605E5C"/>
      <w:shd w:val="clear" w:color="auto" w:fill="E1DFDD"/>
    </w:rPr>
  </w:style>
  <w:style w:type="paragraph" w:styleId="ListParagraph">
    <w:name w:val="List Paragraph"/>
    <w:basedOn w:val="Normal"/>
    <w:uiPriority w:val="34"/>
    <w:qFormat/>
    <w:rsid w:val="00143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853595">
      <w:bodyDiv w:val="1"/>
      <w:marLeft w:val="0"/>
      <w:marRight w:val="0"/>
      <w:marTop w:val="0"/>
      <w:marBottom w:val="0"/>
      <w:divBdr>
        <w:top w:val="none" w:sz="0" w:space="0" w:color="auto"/>
        <w:left w:val="none" w:sz="0" w:space="0" w:color="auto"/>
        <w:bottom w:val="none" w:sz="0" w:space="0" w:color="auto"/>
        <w:right w:val="none" w:sz="0" w:space="0" w:color="auto"/>
      </w:divBdr>
      <w:divsChild>
        <w:div w:id="1258635020">
          <w:marLeft w:val="0"/>
          <w:marRight w:val="0"/>
          <w:marTop w:val="0"/>
          <w:marBottom w:val="0"/>
          <w:divBdr>
            <w:top w:val="none" w:sz="0" w:space="0" w:color="auto"/>
            <w:left w:val="none" w:sz="0" w:space="0" w:color="auto"/>
            <w:bottom w:val="none" w:sz="0" w:space="0" w:color="auto"/>
            <w:right w:val="none" w:sz="0" w:space="0" w:color="auto"/>
          </w:divBdr>
          <w:divsChild>
            <w:div w:id="19092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wainwrightfund.org.uk" TargetMode="External"/><Relationship Id="rId1" Type="http://schemas.openxmlformats.org/officeDocument/2006/relationships/hyperlink" Target="mailto:wainwright.fund@ame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Lange</dc:creator>
  <cp:lastModifiedBy>Thomas Hall</cp:lastModifiedBy>
  <cp:revision>3</cp:revision>
  <cp:lastPrinted>2015-09-09T08:46:00Z</cp:lastPrinted>
  <dcterms:created xsi:type="dcterms:W3CDTF">2023-12-13T11:13:00Z</dcterms:created>
  <dcterms:modified xsi:type="dcterms:W3CDTF">2023-12-13T11:19:00Z</dcterms:modified>
</cp:coreProperties>
</file>